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A8E" w:rsidRPr="003103BF" w:rsidRDefault="00B14A8E" w:rsidP="00B54874">
      <w:pPr>
        <w:keepNext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  <w:lang w:val="en-US"/>
        </w:rPr>
        <w:t>X</w:t>
      </w:r>
      <w:r w:rsidRPr="008048CF">
        <w:rPr>
          <w:rFonts w:ascii="Garamond" w:hAnsi="Garamond"/>
          <w:b/>
          <w:bCs/>
          <w:sz w:val="28"/>
          <w:szCs w:val="28"/>
        </w:rPr>
        <w:t>.</w:t>
      </w:r>
      <w:r w:rsidRPr="00A65BB0">
        <w:rPr>
          <w:rFonts w:ascii="Garamond" w:hAnsi="Garamond"/>
          <w:b/>
          <w:bCs/>
          <w:sz w:val="28"/>
          <w:szCs w:val="28"/>
        </w:rPr>
        <w:t>2</w:t>
      </w:r>
      <w:r>
        <w:rPr>
          <w:rFonts w:ascii="Garamond" w:hAnsi="Garamond"/>
          <w:b/>
          <w:bCs/>
          <w:sz w:val="28"/>
          <w:szCs w:val="28"/>
        </w:rPr>
        <w:t xml:space="preserve">. </w:t>
      </w:r>
      <w:r w:rsidRPr="00BB2B54">
        <w:rPr>
          <w:rFonts w:ascii="Garamond" w:hAnsi="Garamond"/>
          <w:b/>
          <w:bCs/>
          <w:sz w:val="28"/>
          <w:szCs w:val="28"/>
        </w:rPr>
        <w:t xml:space="preserve">Изменения, связанные с </w:t>
      </w:r>
      <w:r>
        <w:rPr>
          <w:rFonts w:ascii="Garamond" w:hAnsi="Garamond"/>
          <w:b/>
          <w:bCs/>
          <w:sz w:val="28"/>
          <w:szCs w:val="28"/>
        </w:rPr>
        <w:t>уточнением величин параметров, применяемых для определения цен на розничных рынках на территориях неценовых зон</w:t>
      </w:r>
    </w:p>
    <w:p w:rsidR="00B14A8E" w:rsidRPr="0070469E" w:rsidRDefault="00B14A8E" w:rsidP="00E03706">
      <w:pPr>
        <w:widowControl w:val="0"/>
        <w:jc w:val="right"/>
        <w:rPr>
          <w:rFonts w:ascii="Garamond" w:hAnsi="Garamond"/>
          <w:b/>
          <w:sz w:val="28"/>
          <w:szCs w:val="28"/>
        </w:rPr>
      </w:pPr>
      <w:r w:rsidRPr="0070469E">
        <w:rPr>
          <w:rFonts w:ascii="Garamond" w:hAnsi="Garamond"/>
          <w:b/>
          <w:sz w:val="28"/>
          <w:szCs w:val="28"/>
        </w:rPr>
        <w:t>Приложение № 10.</w:t>
      </w:r>
      <w:r>
        <w:rPr>
          <w:rFonts w:ascii="Garamond" w:hAnsi="Garamond"/>
          <w:b/>
          <w:sz w:val="28"/>
          <w:szCs w:val="28"/>
        </w:rPr>
        <w:t>2</w:t>
      </w:r>
    </w:p>
    <w:p w:rsidR="00B14A8E" w:rsidRPr="00DB66B3" w:rsidRDefault="00B14A8E" w:rsidP="00B54874">
      <w:pPr>
        <w:keepNext/>
        <w:jc w:val="right"/>
        <w:rPr>
          <w:rFonts w:ascii="Garamond" w:hAnsi="Garamond" w:cs="Arial"/>
          <w:b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48"/>
      </w:tblGrid>
      <w:tr w:rsidR="00B14A8E" w:rsidRPr="00313BD7" w:rsidTr="00313BD7">
        <w:tc>
          <w:tcPr>
            <w:tcW w:w="15048" w:type="dxa"/>
          </w:tcPr>
          <w:p w:rsidR="00B14A8E" w:rsidRPr="00313BD7" w:rsidRDefault="00B14A8E" w:rsidP="00B54874">
            <w:pPr>
              <w:keepNext/>
              <w:ind w:left="180" w:hanging="180"/>
              <w:rPr>
                <w:rFonts w:ascii="Garamond" w:hAnsi="Garamond" w:cs="Arial"/>
              </w:rPr>
            </w:pPr>
            <w:r w:rsidRPr="00313BD7">
              <w:rPr>
                <w:rFonts w:ascii="Garamond" w:hAnsi="Garamond" w:cs="Arial"/>
                <w:b/>
              </w:rPr>
              <w:t xml:space="preserve">Инициатор: </w:t>
            </w:r>
            <w:r>
              <w:rPr>
                <w:rFonts w:ascii="Garamond" w:hAnsi="Garamond"/>
              </w:rPr>
              <w:t>НП</w:t>
            </w:r>
            <w:r w:rsidRPr="00221250">
              <w:rPr>
                <w:rFonts w:ascii="Garamond" w:hAnsi="Garamond"/>
              </w:rPr>
              <w:t xml:space="preserve"> «С</w:t>
            </w:r>
            <w:r>
              <w:rPr>
                <w:rFonts w:ascii="Garamond" w:hAnsi="Garamond"/>
              </w:rPr>
              <w:t>овет рынка».</w:t>
            </w:r>
          </w:p>
          <w:p w:rsidR="00B14A8E" w:rsidRPr="00C37937" w:rsidRDefault="00B14A8E" w:rsidP="0006626F">
            <w:pPr>
              <w:keepNext/>
              <w:rPr>
                <w:rFonts w:ascii="Garamond" w:hAnsi="Garamond" w:cs="Arial"/>
              </w:rPr>
            </w:pPr>
            <w:r w:rsidRPr="00313BD7">
              <w:rPr>
                <w:rFonts w:ascii="Garamond" w:hAnsi="Garamond" w:cs="Arial"/>
                <w:b/>
              </w:rPr>
              <w:t>Обоснование</w:t>
            </w:r>
            <w:r w:rsidRPr="00E03706">
              <w:rPr>
                <w:rFonts w:ascii="Garamond" w:hAnsi="Garamond" w:cs="Arial"/>
                <w:b/>
              </w:rPr>
              <w:t>:</w:t>
            </w:r>
            <w:r>
              <w:rPr>
                <w:rFonts w:ascii="Garamond" w:hAnsi="Garamond" w:cs="Arial"/>
              </w:rPr>
              <w:t xml:space="preserve"> вносятся уточнения в формулы, в соответствии с которыми определяются отдельные параметры, применяемые для определения цен на розничных рынках в неценовых зонах.</w:t>
            </w:r>
          </w:p>
          <w:p w:rsidR="00B14A8E" w:rsidRPr="00313BD7" w:rsidRDefault="00B14A8E" w:rsidP="00042D05">
            <w:pPr>
              <w:keepNext/>
              <w:rPr>
                <w:rFonts w:ascii="Garamond" w:hAnsi="Garamond" w:cs="Arial"/>
              </w:rPr>
            </w:pPr>
            <w:r w:rsidRPr="00313BD7">
              <w:rPr>
                <w:rFonts w:ascii="Garamond" w:hAnsi="Garamond" w:cs="Arial"/>
                <w:b/>
              </w:rPr>
              <w:t xml:space="preserve">Дата вступления в силу: </w:t>
            </w:r>
            <w:r>
              <w:rPr>
                <w:rFonts w:ascii="Garamond" w:hAnsi="Garamond" w:cs="Garamond"/>
                <w:bCs/>
              </w:rPr>
              <w:t>1 июля 2011 года.</w:t>
            </w:r>
          </w:p>
        </w:tc>
      </w:tr>
    </w:tbl>
    <w:p w:rsidR="00B14A8E" w:rsidRPr="005D4308" w:rsidRDefault="00B14A8E" w:rsidP="00B54874">
      <w:pPr>
        <w:tabs>
          <w:tab w:val="left" w:pos="1134"/>
        </w:tabs>
        <w:spacing w:before="240" w:after="120"/>
        <w:ind w:right="21"/>
        <w:outlineLvl w:val="0"/>
        <w:rPr>
          <w:rFonts w:ascii="Garamond" w:eastAsia="Batang" w:hAnsi="Garamond" w:cs="Arial"/>
          <w:b/>
          <w:bCs/>
          <w:sz w:val="26"/>
          <w:szCs w:val="26"/>
        </w:rPr>
      </w:pPr>
      <w:bookmarkStart w:id="0" w:name="_Toc156127127"/>
      <w:bookmarkStart w:id="1" w:name="_Toc157593528"/>
      <w:r w:rsidRPr="005D4308">
        <w:rPr>
          <w:rFonts w:ascii="Garamond" w:eastAsia="Batang" w:hAnsi="Garamond" w:cs="Arial"/>
          <w:b/>
          <w:bCs/>
          <w:caps/>
          <w:sz w:val="26"/>
          <w:szCs w:val="26"/>
        </w:rPr>
        <w:t>П</w:t>
      </w:r>
      <w:r w:rsidRPr="005D4308">
        <w:rPr>
          <w:rFonts w:ascii="Garamond" w:eastAsia="Batang" w:hAnsi="Garamond" w:cs="Arial"/>
          <w:b/>
          <w:bCs/>
          <w:sz w:val="26"/>
          <w:szCs w:val="26"/>
        </w:rPr>
        <w:t xml:space="preserve">редложения по изменениям и дополнениям в </w:t>
      </w:r>
      <w:bookmarkEnd w:id="0"/>
      <w:bookmarkEnd w:id="1"/>
      <w:r w:rsidRPr="005D4308">
        <w:rPr>
          <w:rFonts w:ascii="Garamond" w:eastAsia="Batang" w:hAnsi="Garamond" w:cs="Arial"/>
          <w:b/>
          <w:bCs/>
          <w:sz w:val="26"/>
          <w:szCs w:val="26"/>
        </w:rPr>
        <w:t>РЕГЛАМЕНТ ФУНКЦИОНИРОВАНИЯ УЧАСТНИКОВ ОПТОВОГО РЫНКА НА ТЕРРИТОРИИ НЕЦЕНОВЫХ ЗОН (Приложение № 14 к Договору о присоединении к торговой системе оптового рынка)</w:t>
      </w: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6815"/>
        <w:gridCol w:w="7286"/>
      </w:tblGrid>
      <w:tr w:rsidR="00B14A8E" w:rsidRPr="00313BD7" w:rsidTr="00E03706">
        <w:tc>
          <w:tcPr>
            <w:tcW w:w="948" w:type="dxa"/>
            <w:vAlign w:val="center"/>
          </w:tcPr>
          <w:p w:rsidR="00B14A8E" w:rsidRPr="00E03706" w:rsidRDefault="00B14A8E" w:rsidP="00B5487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E03706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B14A8E" w:rsidRPr="00E03706" w:rsidRDefault="00B14A8E" w:rsidP="00B5487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E03706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815" w:type="dxa"/>
            <w:vAlign w:val="center"/>
          </w:tcPr>
          <w:p w:rsidR="00B14A8E" w:rsidRPr="00E03706" w:rsidRDefault="00B14A8E" w:rsidP="00B5487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E03706">
              <w:rPr>
                <w:rFonts w:ascii="Garamond" w:hAnsi="Garamond"/>
                <w:b/>
                <w:bCs/>
                <w:caps/>
                <w:sz w:val="22"/>
                <w:szCs w:val="22"/>
              </w:rPr>
              <w:t>р</w:t>
            </w:r>
            <w:r w:rsidRPr="00E03706">
              <w:rPr>
                <w:rFonts w:ascii="Garamond" w:hAnsi="Garamond"/>
                <w:b/>
                <w:bCs/>
                <w:sz w:val="22"/>
                <w:szCs w:val="22"/>
              </w:rPr>
              <w:t>едакция, действующая на момент</w:t>
            </w:r>
          </w:p>
          <w:p w:rsidR="00B14A8E" w:rsidRPr="00E03706" w:rsidRDefault="00B14A8E" w:rsidP="00B54874">
            <w:pPr>
              <w:widowControl w:val="0"/>
              <w:jc w:val="center"/>
              <w:rPr>
                <w:rFonts w:ascii="Garamond" w:hAnsi="Garamond"/>
                <w:b/>
                <w:bCs/>
                <w:caps/>
              </w:rPr>
            </w:pPr>
            <w:r w:rsidRPr="00E03706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286" w:type="dxa"/>
            <w:vAlign w:val="center"/>
          </w:tcPr>
          <w:p w:rsidR="00B14A8E" w:rsidRPr="00E03706" w:rsidRDefault="00B14A8E" w:rsidP="00B5487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E03706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B14A8E" w:rsidRPr="00E03706" w:rsidRDefault="00B14A8E" w:rsidP="00B54874">
            <w:pPr>
              <w:widowControl w:val="0"/>
              <w:jc w:val="center"/>
              <w:rPr>
                <w:rFonts w:ascii="Garamond" w:hAnsi="Garamond"/>
                <w:bCs/>
              </w:rPr>
            </w:pPr>
            <w:r w:rsidRPr="00E03706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B14A8E" w:rsidRPr="00313BD7" w:rsidTr="00E03706">
        <w:tc>
          <w:tcPr>
            <w:tcW w:w="948" w:type="dxa"/>
            <w:vAlign w:val="center"/>
          </w:tcPr>
          <w:p w:rsidR="00B14A8E" w:rsidRPr="00E03706" w:rsidRDefault="00B14A8E" w:rsidP="00B54874">
            <w:pPr>
              <w:widowControl w:val="0"/>
              <w:ind w:right="-108"/>
              <w:jc w:val="center"/>
              <w:rPr>
                <w:rFonts w:ascii="Garamond" w:hAnsi="Garamond"/>
                <w:b/>
                <w:color w:val="000000"/>
              </w:rPr>
            </w:pPr>
            <w:r w:rsidRPr="00E03706">
              <w:rPr>
                <w:rFonts w:ascii="Garamond" w:hAnsi="Garamond"/>
                <w:b/>
                <w:color w:val="000000"/>
                <w:sz w:val="22"/>
                <w:szCs w:val="22"/>
              </w:rPr>
              <w:t>19.1.6</w:t>
            </w:r>
          </w:p>
        </w:tc>
        <w:tc>
          <w:tcPr>
            <w:tcW w:w="6815" w:type="dxa"/>
          </w:tcPr>
          <w:p w:rsidR="00B14A8E" w:rsidRPr="00E03706" w:rsidRDefault="00B14A8E" w:rsidP="001B00ED">
            <w:pPr>
              <w:pStyle w:val="Heading7"/>
              <w:spacing w:before="180" w:after="240"/>
              <w:ind w:left="33"/>
              <w:jc w:val="both"/>
              <w:rPr>
                <w:rFonts w:ascii="Garamond" w:hAnsi="Garamond"/>
              </w:rPr>
            </w:pPr>
            <w:r w:rsidRPr="00E03706">
              <w:rPr>
                <w:sz w:val="22"/>
                <w:szCs w:val="22"/>
              </w:rPr>
              <w:t xml:space="preserve">19.1.6 </w:t>
            </w:r>
            <w:r w:rsidRPr="00E03706">
              <w:rPr>
                <w:rFonts w:ascii="Garamond" w:hAnsi="Garamond"/>
                <w:sz w:val="22"/>
                <w:szCs w:val="22"/>
              </w:rPr>
              <w:t>Стоимость электрической энергии при отклонении ГП (ЭСО, ЭСК) по внешней инициативе в часе h расчётного периода по соответствующей группе точек поставки p оптового рынка: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position w:val="-14"/>
              </w:rPr>
            </w:pPr>
            <w:r w:rsidRPr="00E0370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30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1.25pt;height:25.5pt" o:ole="">
                  <v:imagedata r:id="rId7" o:title=""/>
                </v:shape>
                <o:OLEObject Type="Embed" ProgID="Equation.DSMT4" ShapeID="_x0000_i1025" DrawAspect="Content" ObjectID="_1370346954" r:id="rId8"/>
              </w:object>
            </w: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t>,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position w:val="-14"/>
              </w:rPr>
            </w:pP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lang w:eastAsia="en-US"/>
              </w:rPr>
            </w:pP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t xml:space="preserve">где </w:t>
            </w: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object w:dxaOrig="660" w:dyaOrig="400">
                <v:shape id="_x0000_i1026" type="#_x0000_t75" style="width:33pt;height:20.25pt" o:ole="">
                  <v:imagedata r:id="rId9" o:title=""/>
                </v:shape>
                <o:OLEObject Type="Embed" ProgID="Equation.DSMT4" ShapeID="_x0000_i1026" DrawAspect="Content" ObjectID="_1370346955" r:id="rId10"/>
              </w:objec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― расчетный показатель стоимости отклонения по внешней инициативе в отношении ГТП потребления </w:t>
            </w:r>
            <w:r w:rsidRPr="00E03706">
              <w:rPr>
                <w:rFonts w:ascii="Garamond" w:hAnsi="Garamond"/>
                <w:i/>
                <w:sz w:val="22"/>
                <w:szCs w:val="22"/>
                <w:lang w:val="en-US"/>
              </w:rPr>
              <w:t>p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участников неценовых зон оптового рынка при увеличении объема потребления электрической энергии, определенный соответствии с п. 11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Регламента определения объемов, инициатив и стоимости отклонений </w:t>
            </w:r>
            <w:r w:rsidRPr="00E03706">
              <w:rPr>
                <w:rFonts w:ascii="Garamond" w:hAnsi="Garamond"/>
                <w:sz w:val="22"/>
                <w:szCs w:val="22"/>
              </w:rPr>
              <w:t>(Приложение № 12 к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Договору о присоединении к торговой системе оптового рынка)</w:t>
            </w:r>
            <w:r w:rsidRPr="00E03706">
              <w:rPr>
                <w:rFonts w:ascii="Garamond" w:hAnsi="Garamond"/>
                <w:sz w:val="22"/>
                <w:szCs w:val="22"/>
              </w:rPr>
              <w:t>.</w:t>
            </w:r>
          </w:p>
          <w:p w:rsidR="00B14A8E" w:rsidRPr="00E03706" w:rsidRDefault="00B14A8E" w:rsidP="00B54874">
            <w:pPr>
              <w:jc w:val="both"/>
              <w:rPr>
                <w:rFonts w:ascii="Garamond" w:hAnsi="Garamond"/>
                <w:lang w:eastAsia="en-US"/>
              </w:rPr>
            </w:pPr>
          </w:p>
        </w:tc>
        <w:tc>
          <w:tcPr>
            <w:tcW w:w="7286" w:type="dxa"/>
          </w:tcPr>
          <w:p w:rsidR="00B14A8E" w:rsidRPr="00E03706" w:rsidRDefault="00B14A8E" w:rsidP="001B00ED">
            <w:pPr>
              <w:pStyle w:val="Heading7"/>
              <w:spacing w:before="180" w:after="240"/>
              <w:ind w:left="33"/>
              <w:jc w:val="both"/>
              <w:rPr>
                <w:rFonts w:ascii="Garamond" w:hAnsi="Garamond"/>
              </w:rPr>
            </w:pPr>
            <w:r w:rsidRPr="00E03706">
              <w:rPr>
                <w:sz w:val="22"/>
                <w:szCs w:val="22"/>
              </w:rPr>
              <w:t xml:space="preserve">19.1.6 </w:t>
            </w:r>
            <w:r w:rsidRPr="00E03706">
              <w:rPr>
                <w:rFonts w:ascii="Garamond" w:hAnsi="Garamond"/>
                <w:sz w:val="22"/>
                <w:szCs w:val="22"/>
              </w:rPr>
              <w:t>Стоимость электрической энергии при отклонении ГП (ЭСО, ЭСК) по внешней инициативе в часе h расчётного периода по соответствующей группе точек поставки p оптового рынка: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position w:val="-14"/>
              </w:rPr>
            </w:pPr>
            <w:r w:rsidRPr="00E03706">
              <w:rPr>
                <w:rFonts w:ascii="Garamond" w:hAnsi="Garamond"/>
                <w:position w:val="-16"/>
                <w:sz w:val="22"/>
                <w:szCs w:val="22"/>
                <w:highlight w:val="yellow"/>
              </w:rPr>
              <w:object w:dxaOrig="3220" w:dyaOrig="440">
                <v:shape id="_x0000_i1027" type="#_x0000_t75" style="width:198pt;height:28.5pt" o:ole="">
                  <v:imagedata r:id="rId11" o:title=""/>
                </v:shape>
                <o:OLEObject Type="Embed" ProgID="Equation.DSMT4" ShapeID="_x0000_i1027" DrawAspect="Content" ObjectID="_1370346956" r:id="rId12"/>
              </w:object>
            </w: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t>,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position w:val="-14"/>
              </w:rPr>
            </w:pP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lang w:eastAsia="en-US"/>
              </w:rPr>
            </w:pP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t xml:space="preserve">где </w:t>
            </w: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object w:dxaOrig="660" w:dyaOrig="400">
                <v:shape id="_x0000_i1028" type="#_x0000_t75" style="width:33pt;height:20.25pt" o:ole="">
                  <v:imagedata r:id="rId9" o:title=""/>
                </v:shape>
                <o:OLEObject Type="Embed" ProgID="Equation.DSMT4" ShapeID="_x0000_i1028" DrawAspect="Content" ObjectID="_1370346957" r:id="rId13"/>
              </w:objec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― расчетный показатель стоимости отклонения по внешней инициативе в отношении ГТП потребления </w:t>
            </w:r>
            <w:r w:rsidRPr="00E03706">
              <w:rPr>
                <w:rFonts w:ascii="Garamond" w:hAnsi="Garamond"/>
                <w:i/>
                <w:sz w:val="22"/>
                <w:szCs w:val="22"/>
                <w:lang w:val="en-US"/>
              </w:rPr>
              <w:t>p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участников неценовых зон оптового рынка при увеличении объема потребления электрической энергии, определенный соответствии с п. 11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Регламента определения объемов, инициатив и стоимости отклонений </w:t>
            </w:r>
            <w:r w:rsidRPr="00E03706">
              <w:rPr>
                <w:rFonts w:ascii="Garamond" w:hAnsi="Garamond"/>
                <w:sz w:val="22"/>
                <w:szCs w:val="22"/>
              </w:rPr>
              <w:t>(Приложение № 12 к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Договору о присоединении к торговой системе оптового рынка)</w:t>
            </w:r>
            <w:r w:rsidRPr="00E03706">
              <w:rPr>
                <w:rFonts w:ascii="Garamond" w:hAnsi="Garamond"/>
                <w:sz w:val="22"/>
                <w:szCs w:val="22"/>
              </w:rPr>
              <w:t>.</w:t>
            </w:r>
          </w:p>
          <w:p w:rsidR="00B14A8E" w:rsidRPr="00E03706" w:rsidRDefault="00B14A8E" w:rsidP="00B54874">
            <w:pPr>
              <w:jc w:val="both"/>
              <w:rPr>
                <w:rFonts w:ascii="Garamond" w:hAnsi="Garamond"/>
                <w:position w:val="-34"/>
              </w:rPr>
            </w:pPr>
          </w:p>
        </w:tc>
      </w:tr>
      <w:tr w:rsidR="00B14A8E" w:rsidRPr="00313BD7" w:rsidTr="00E03706">
        <w:tc>
          <w:tcPr>
            <w:tcW w:w="948" w:type="dxa"/>
            <w:vAlign w:val="center"/>
          </w:tcPr>
          <w:p w:rsidR="00B14A8E" w:rsidRPr="00E03706" w:rsidRDefault="00B14A8E" w:rsidP="00B54874">
            <w:pPr>
              <w:widowControl w:val="0"/>
              <w:ind w:right="-108"/>
              <w:jc w:val="center"/>
              <w:rPr>
                <w:rFonts w:ascii="Garamond" w:hAnsi="Garamond"/>
                <w:b/>
                <w:color w:val="000000"/>
              </w:rPr>
            </w:pPr>
            <w:r w:rsidRPr="00E03706">
              <w:rPr>
                <w:rFonts w:ascii="Garamond" w:hAnsi="Garamond"/>
                <w:b/>
                <w:color w:val="000000"/>
                <w:sz w:val="22"/>
                <w:szCs w:val="22"/>
              </w:rPr>
              <w:t>19.1.7</w:t>
            </w:r>
          </w:p>
        </w:tc>
        <w:tc>
          <w:tcPr>
            <w:tcW w:w="6815" w:type="dxa"/>
          </w:tcPr>
          <w:p w:rsidR="00B14A8E" w:rsidRPr="00E03706" w:rsidRDefault="00B14A8E" w:rsidP="001B00ED">
            <w:pPr>
              <w:pStyle w:val="Heading7"/>
              <w:spacing w:before="180"/>
              <w:ind w:left="34"/>
              <w:jc w:val="both"/>
              <w:rPr>
                <w:rFonts w:ascii="Garamond" w:hAnsi="Garamond"/>
              </w:rPr>
            </w:pPr>
            <w:r w:rsidRPr="00E03706">
              <w:rPr>
                <w:rFonts w:ascii="Garamond" w:hAnsi="Garamond"/>
                <w:sz w:val="22"/>
                <w:szCs w:val="22"/>
              </w:rPr>
              <w:t>19.1.7 Стоимость отклонений фактического объема потребления от планового, уменьшенная на отрицательную разницу предварительно рассчитанных обязательств и предварительно рассчитанных требований по оплате отклонений по электрической энергии, для каждого часа h расчетного периода в группе точек поставки потребления p на оптовом рынке, к которой отнесено энергопотребляющее оборудование потребителя розничного рынка: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position w:val="-14"/>
              </w:rPr>
            </w:pPr>
            <w:r w:rsidRPr="00E0370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4400" w:dyaOrig="400">
                <v:shape id="_x0000_i1029" type="#_x0000_t75" style="width:215.25pt;height:20.25pt" o:ole="">
                  <v:imagedata r:id="rId14" o:title=""/>
                </v:shape>
                <o:OLEObject Type="Embed" ProgID="Equation.DSMT4" ShapeID="_x0000_i1029" DrawAspect="Content" ObjectID="_1370346958" r:id="rId15"/>
              </w:object>
            </w: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t>,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position w:val="-14"/>
              </w:rPr>
            </w:pP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t xml:space="preserve">где </w:t>
            </w: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object w:dxaOrig="760" w:dyaOrig="400">
                <v:shape id="_x0000_i1030" type="#_x0000_t75" style="width:38.25pt;height:20.25pt" o:ole="">
                  <v:imagedata r:id="rId16" o:title=""/>
                </v:shape>
                <o:OLEObject Type="Embed" ProgID="Equation.DSMT4" ShapeID="_x0000_i1030" DrawAspect="Content" ObjectID="_1370346959" r:id="rId17"/>
              </w:objec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― стоимость отклонений фактического объема потребления от планового, определяемая коммерческим оператором для ГП (ЭСО, ЭСК) для каждого часа расчетного периода </w:t>
            </w:r>
            <w:r w:rsidRPr="00E03706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 в группе точек поставки потребления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>p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на оптовом рынке, к которой отнесено энергопотребляющее оборудование потребителя розничного рынка, определенная  в соответствии с п. 11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Регламента определения объемов, инициатив и стоимости отклонений </w:t>
            </w:r>
            <w:r w:rsidRPr="00E03706">
              <w:rPr>
                <w:rFonts w:ascii="Garamond" w:hAnsi="Garamond"/>
                <w:sz w:val="22"/>
                <w:szCs w:val="22"/>
              </w:rPr>
              <w:t>(Приложение № 12 к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Договору о присоединении к торговой системе оптового рынка)</w:t>
            </w:r>
            <w:r w:rsidRPr="00E03706">
              <w:rPr>
                <w:rFonts w:ascii="Garamond" w:hAnsi="Garamond"/>
                <w:sz w:val="22"/>
                <w:szCs w:val="22"/>
              </w:rPr>
              <w:t>;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</w:rPr>
            </w:pPr>
            <w:r w:rsidRPr="00E03706">
              <w:rPr>
                <w:rFonts w:ascii="Garamond" w:hAnsi="Garamond"/>
                <w:position w:val="-28"/>
                <w:sz w:val="22"/>
                <w:szCs w:val="22"/>
                <w:highlight w:val="yellow"/>
              </w:rPr>
              <w:object w:dxaOrig="2320" w:dyaOrig="540">
                <v:shape id="_x0000_i1031" type="#_x0000_t75" style="width:116.25pt;height:27pt" o:ole="">
                  <v:imagedata r:id="rId18" o:title=""/>
                </v:shape>
                <o:OLEObject Type="Embed" ProgID="Equation.DSMT4" ShapeID="_x0000_i1031" DrawAspect="Content" ObjectID="_1370346960" r:id="rId19"/>
              </w:objec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lang w:eastAsia="en-US"/>
              </w:rPr>
            </w:pP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object w:dxaOrig="900" w:dyaOrig="400">
                <v:shape id="_x0000_i1032" type="#_x0000_t75" style="width:45pt;height:20.25pt" o:ole="">
                  <v:imagedata r:id="rId20" o:title=""/>
                </v:shape>
                <o:OLEObject Type="Embed" ProgID="Equation.DSMT4" ShapeID="_x0000_i1032" DrawAspect="Content" ObjectID="_1370346961" r:id="rId21"/>
              </w:objec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― начисленная распределенная разница предварительно рассчитанных объемов обязательств участников по оплате электрической энергии, учтенная при составлении окончательного расчета для ГТП потребления участника в часе </w:t>
            </w:r>
            <w:r w:rsidRPr="00E03706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в неценовой зоне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>z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по четырехстороннему договору, определенная в соответствии с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>Регламентом финансовых расчетов на оптовом рынке электроэнергии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(Приложение № 16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E03706">
              <w:rPr>
                <w:rFonts w:ascii="Garamond" w:hAnsi="Garamond"/>
                <w:sz w:val="22"/>
                <w:szCs w:val="22"/>
              </w:rPr>
              <w:t>к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E03706">
              <w:rPr>
                <w:rFonts w:ascii="Garamond" w:hAnsi="Garamond"/>
                <w:sz w:val="22"/>
                <w:szCs w:val="22"/>
              </w:rPr>
              <w:t>).</w:t>
            </w:r>
          </w:p>
        </w:tc>
        <w:tc>
          <w:tcPr>
            <w:tcW w:w="7286" w:type="dxa"/>
          </w:tcPr>
          <w:p w:rsidR="00B14A8E" w:rsidRPr="00E03706" w:rsidRDefault="00B14A8E" w:rsidP="001B00ED">
            <w:pPr>
              <w:pStyle w:val="Heading7"/>
              <w:spacing w:before="180"/>
              <w:ind w:left="34"/>
              <w:jc w:val="both"/>
              <w:rPr>
                <w:rFonts w:ascii="Garamond" w:hAnsi="Garamond"/>
              </w:rPr>
            </w:pPr>
            <w:r w:rsidRPr="00E03706">
              <w:rPr>
                <w:rFonts w:ascii="Garamond" w:hAnsi="Garamond"/>
                <w:sz w:val="22"/>
                <w:szCs w:val="22"/>
              </w:rPr>
              <w:t>19.1.7 Стоимость отклонений фактического объема потребления от планового, уменьшенная на отрицательную разницу предварительно рассчитанных обязательств и предварительно рассчитанных требований по оплате отклонений по электрической энергии, для каждого часа h расчетного периода в группе точек поставки потребления p на оптовом рынке, к которой отнесено энергопотребляющее оборудование потребителя розничного рынка: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position w:val="-14"/>
              </w:rPr>
            </w:pPr>
            <w:r w:rsidRPr="00E03706">
              <w:rPr>
                <w:rFonts w:ascii="Garamond" w:hAnsi="Garamond"/>
                <w:position w:val="-16"/>
                <w:sz w:val="22"/>
                <w:szCs w:val="22"/>
                <w:highlight w:val="yellow"/>
              </w:rPr>
              <w:object w:dxaOrig="5580" w:dyaOrig="440">
                <v:shape id="_x0000_i1033" type="#_x0000_t75" style="width:279pt;height:21.75pt" o:ole="">
                  <v:imagedata r:id="rId22" o:title=""/>
                </v:shape>
                <o:OLEObject Type="Embed" ProgID="Equation.DSMT4" ShapeID="_x0000_i1033" DrawAspect="Content" ObjectID="_1370346962" r:id="rId23"/>
              </w:object>
            </w: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t>,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</w:rPr>
            </w:pP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t xml:space="preserve">где </w:t>
            </w: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object w:dxaOrig="760" w:dyaOrig="400">
                <v:shape id="_x0000_i1034" type="#_x0000_t75" style="width:38.25pt;height:20.25pt" o:ole="">
                  <v:imagedata r:id="rId16" o:title=""/>
                </v:shape>
                <o:OLEObject Type="Embed" ProgID="Equation.DSMT4" ShapeID="_x0000_i1034" DrawAspect="Content" ObjectID="_1370346963" r:id="rId24"/>
              </w:objec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― стоимость отклонений фактического объема потребления от планового, определяемая коммерческим оператором для ГП (ЭСО, ЭСК) для каждого часа расчетного периода </w:t>
            </w:r>
            <w:r w:rsidRPr="00E03706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в соответствии с договором о присоединении к торговой системе оптового рынка в группе точек поставки потребления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>p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на оптовом рынке, к которой отнесено энергопотребляющее оборудование потребителя розничного рынка, определенная  в соответствии с п. 11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Регламента определения объемов, инициатив и стоимости отклонений </w:t>
            </w:r>
            <w:r w:rsidRPr="00E03706">
              <w:rPr>
                <w:rFonts w:ascii="Garamond" w:hAnsi="Garamond"/>
                <w:sz w:val="22"/>
                <w:szCs w:val="22"/>
              </w:rPr>
              <w:t>(Приложение № 12 к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Договору о присоединении к торговой системе оптового рынка)</w:t>
            </w:r>
            <w:r w:rsidRPr="00E03706">
              <w:rPr>
                <w:rFonts w:ascii="Garamond" w:hAnsi="Garamond"/>
                <w:sz w:val="22"/>
                <w:szCs w:val="22"/>
              </w:rPr>
              <w:t>;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  <w:position w:val="-14"/>
              </w:rPr>
            </w:pPr>
            <w:r w:rsidRPr="00E03706">
              <w:rPr>
                <w:rFonts w:ascii="Garamond" w:hAnsi="Garamond"/>
                <w:sz w:val="22"/>
                <w:szCs w:val="22"/>
                <w:highlight w:val="yellow"/>
              </w:rPr>
              <w:t xml:space="preserve">величина </w:t>
            </w:r>
            <w:r w:rsidRPr="00E03706">
              <w:rPr>
                <w:rFonts w:ascii="Garamond" w:hAnsi="Garamond"/>
                <w:sz w:val="22"/>
                <w:szCs w:val="22"/>
                <w:highlight w:val="yellow"/>
              </w:rPr>
              <w:object w:dxaOrig="859" w:dyaOrig="400">
                <v:shape id="_x0000_i1035" type="#_x0000_t75" style="width:42.75pt;height:20.25pt" o:ole="">
                  <v:imagedata r:id="rId25" o:title=""/>
                </v:shape>
                <o:OLEObject Type="Embed" ProgID="Equation.DSMT4" ShapeID="_x0000_i1035" DrawAspect="Content" ObjectID="_1370346964" r:id="rId26"/>
              </w:object>
            </w:r>
            <w:r w:rsidRPr="00E03706">
              <w:rPr>
                <w:rFonts w:ascii="Garamond" w:hAnsi="Garamond"/>
                <w:sz w:val="22"/>
                <w:szCs w:val="22"/>
                <w:highlight w:val="yellow"/>
              </w:rPr>
              <w:t xml:space="preserve">определяется в соответствии с п. 11 </w:t>
            </w:r>
            <w:r w:rsidRPr="00E03706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Регламента определения объемов, инициатив и стоимости отклонений </w:t>
            </w:r>
            <w:r w:rsidRPr="00E03706">
              <w:rPr>
                <w:rFonts w:ascii="Garamond" w:hAnsi="Garamond"/>
                <w:sz w:val="22"/>
                <w:szCs w:val="22"/>
                <w:highlight w:val="yellow"/>
              </w:rPr>
              <w:t>(Приложение № 12 к</w:t>
            </w:r>
            <w:r w:rsidRPr="00E03706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Договору о присоединении к торговой системе оптового рынка</w:t>
            </w:r>
            <w:r w:rsidRPr="00E03706">
              <w:rPr>
                <w:rFonts w:ascii="Garamond" w:hAnsi="Garamond"/>
                <w:sz w:val="22"/>
                <w:szCs w:val="22"/>
                <w:highlight w:val="yellow"/>
              </w:rPr>
              <w:t>);</w:t>
            </w:r>
          </w:p>
          <w:p w:rsidR="00B14A8E" w:rsidRPr="00E03706" w:rsidRDefault="00B14A8E" w:rsidP="001B00ED">
            <w:pPr>
              <w:jc w:val="both"/>
              <w:rPr>
                <w:rFonts w:ascii="Garamond" w:hAnsi="Garamond"/>
              </w:rPr>
            </w:pPr>
          </w:p>
          <w:p w:rsidR="00B14A8E" w:rsidRPr="00E03706" w:rsidRDefault="00B14A8E" w:rsidP="001B00ED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E03706">
              <w:rPr>
                <w:rFonts w:ascii="Garamond" w:hAnsi="Garamond"/>
                <w:position w:val="-14"/>
                <w:sz w:val="22"/>
                <w:szCs w:val="22"/>
              </w:rPr>
              <w:object w:dxaOrig="900" w:dyaOrig="400">
                <v:shape id="_x0000_i1036" type="#_x0000_t75" style="width:45pt;height:20.25pt" o:ole="">
                  <v:imagedata r:id="rId20" o:title=""/>
                </v:shape>
                <o:OLEObject Type="Embed" ProgID="Equation.DSMT4" ShapeID="_x0000_i1036" DrawAspect="Content" ObjectID="_1370346965" r:id="rId27"/>
              </w:objec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― начисленная распределенная разница предварительно рассчитанных объемов обязательств участников по оплате электрической энергии, учтенная при составлении окончательного расчета для ГТП потребления участника в часе </w:t>
            </w:r>
            <w:r w:rsidRPr="00E03706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в неценовой зоне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>z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по четырехстороннему договору, определенная в соответствии с 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>Регламентом финансовых расчетов на оптовом рынке электроэнергии</w:t>
            </w:r>
            <w:r w:rsidRPr="00E03706">
              <w:rPr>
                <w:rFonts w:ascii="Garamond" w:hAnsi="Garamond"/>
                <w:sz w:val="22"/>
                <w:szCs w:val="22"/>
              </w:rPr>
              <w:t xml:space="preserve"> (Приложение № 16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E03706">
              <w:rPr>
                <w:rFonts w:ascii="Garamond" w:hAnsi="Garamond"/>
                <w:sz w:val="22"/>
                <w:szCs w:val="22"/>
              </w:rPr>
              <w:t>к</w:t>
            </w:r>
            <w:r w:rsidRPr="00E03706">
              <w:rPr>
                <w:rFonts w:ascii="Garamond" w:hAnsi="Garamond"/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E03706">
              <w:rPr>
                <w:rFonts w:ascii="Garamond" w:hAnsi="Garamond"/>
                <w:sz w:val="22"/>
                <w:szCs w:val="22"/>
              </w:rPr>
              <w:t>).</w:t>
            </w:r>
          </w:p>
        </w:tc>
      </w:tr>
    </w:tbl>
    <w:p w:rsidR="00B14A8E" w:rsidRDefault="00B14A8E" w:rsidP="00B54874"/>
    <w:p w:rsidR="00B14A8E" w:rsidRDefault="00B14A8E" w:rsidP="00B54874"/>
    <w:p w:rsidR="00B14A8E" w:rsidRPr="00EE1B0A" w:rsidRDefault="00B14A8E" w:rsidP="00F64F37">
      <w:pPr>
        <w:autoSpaceDE w:val="0"/>
        <w:autoSpaceDN w:val="0"/>
        <w:adjustRightInd w:val="0"/>
        <w:ind w:left="540"/>
        <w:jc w:val="both"/>
        <w:rPr>
          <w:color w:val="000000"/>
        </w:rPr>
      </w:pPr>
    </w:p>
    <w:p w:rsidR="00B14A8E" w:rsidRDefault="00B14A8E" w:rsidP="00F64F37">
      <w:pPr>
        <w:ind w:firstLine="708"/>
        <w:jc w:val="both"/>
      </w:pPr>
    </w:p>
    <w:p w:rsidR="00B14A8E" w:rsidRDefault="00B14A8E" w:rsidP="00F64F37">
      <w:pPr>
        <w:ind w:firstLine="708"/>
        <w:jc w:val="both"/>
      </w:pPr>
    </w:p>
    <w:p w:rsidR="00B14A8E" w:rsidRPr="00F30FFC" w:rsidRDefault="00B14A8E" w:rsidP="00B54874"/>
    <w:sectPr w:rsidR="00B14A8E" w:rsidRPr="00F30FFC" w:rsidSect="00D9122F">
      <w:footerReference w:type="even" r:id="rId28"/>
      <w:footerReference w:type="first" r:id="rId29"/>
      <w:pgSz w:w="16838" w:h="11906" w:orient="landscape"/>
      <w:pgMar w:top="1276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A8E" w:rsidRDefault="00B14A8E">
      <w:r>
        <w:separator/>
      </w:r>
    </w:p>
  </w:endnote>
  <w:endnote w:type="continuationSeparator" w:id="1">
    <w:p w:rsidR="00B14A8E" w:rsidRDefault="00B14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A8E" w:rsidRDefault="00B14A8E" w:rsidP="008E2A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4A8E" w:rsidRDefault="00B14A8E" w:rsidP="00351E2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A8E" w:rsidRDefault="00B14A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A8E" w:rsidRDefault="00B14A8E">
      <w:r>
        <w:separator/>
      </w:r>
    </w:p>
  </w:footnote>
  <w:footnote w:type="continuationSeparator" w:id="1">
    <w:p w:rsidR="00B14A8E" w:rsidRDefault="00B14A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DB0"/>
    <w:multiLevelType w:val="hybridMultilevel"/>
    <w:tmpl w:val="8A6AAF00"/>
    <w:lvl w:ilvl="0" w:tplc="03B8F0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  <w:rPr>
        <w:rFonts w:cs="Times New Roman"/>
      </w:rPr>
    </w:lvl>
  </w:abstractNum>
  <w:abstractNum w:abstractNumId="1">
    <w:nsid w:val="3270283E"/>
    <w:multiLevelType w:val="hybridMultilevel"/>
    <w:tmpl w:val="3E2451B8"/>
    <w:lvl w:ilvl="0" w:tplc="03E47BA0">
      <w:start w:val="1"/>
      <w:numFmt w:val="bullet"/>
      <w:lvlText w:val="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">
    <w:nsid w:val="3A7B31D4"/>
    <w:multiLevelType w:val="multilevel"/>
    <w:tmpl w:val="8A6AAF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  <w:rPr>
        <w:rFonts w:cs="Times New Roman"/>
      </w:rPr>
    </w:lvl>
  </w:abstractNum>
  <w:abstractNum w:abstractNumId="3">
    <w:nsid w:val="3EF61240"/>
    <w:multiLevelType w:val="multilevel"/>
    <w:tmpl w:val="5282A68A"/>
    <w:lvl w:ilvl="0">
      <w:start w:val="19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6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58AA302A"/>
    <w:multiLevelType w:val="hybridMultilevel"/>
    <w:tmpl w:val="1160F4F8"/>
    <w:lvl w:ilvl="0" w:tplc="03B8F0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B01549A"/>
    <w:multiLevelType w:val="hybridMultilevel"/>
    <w:tmpl w:val="2A0EAAE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F052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E97324F"/>
    <w:multiLevelType w:val="multilevel"/>
    <w:tmpl w:val="8730B69A"/>
    <w:lvl w:ilvl="0">
      <w:start w:val="19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FD3"/>
    <w:rsid w:val="00000437"/>
    <w:rsid w:val="00005C92"/>
    <w:rsid w:val="00024FB6"/>
    <w:rsid w:val="00033A71"/>
    <w:rsid w:val="000354CD"/>
    <w:rsid w:val="000368E8"/>
    <w:rsid w:val="00042B71"/>
    <w:rsid w:val="00042D05"/>
    <w:rsid w:val="00044921"/>
    <w:rsid w:val="000619D6"/>
    <w:rsid w:val="00061EA1"/>
    <w:rsid w:val="00062C42"/>
    <w:rsid w:val="0006626F"/>
    <w:rsid w:val="000776E2"/>
    <w:rsid w:val="00096933"/>
    <w:rsid w:val="000A2650"/>
    <w:rsid w:val="000A624A"/>
    <w:rsid w:val="000B288D"/>
    <w:rsid w:val="000C13D6"/>
    <w:rsid w:val="000D0C26"/>
    <w:rsid w:val="000F2D85"/>
    <w:rsid w:val="00136284"/>
    <w:rsid w:val="00145A24"/>
    <w:rsid w:val="00150621"/>
    <w:rsid w:val="00157CD5"/>
    <w:rsid w:val="00160223"/>
    <w:rsid w:val="00163BFD"/>
    <w:rsid w:val="001648A2"/>
    <w:rsid w:val="00166FE3"/>
    <w:rsid w:val="00172983"/>
    <w:rsid w:val="00175AA2"/>
    <w:rsid w:val="00176371"/>
    <w:rsid w:val="0017674B"/>
    <w:rsid w:val="00181DAE"/>
    <w:rsid w:val="001907AD"/>
    <w:rsid w:val="001B00ED"/>
    <w:rsid w:val="001B2292"/>
    <w:rsid w:val="001B5272"/>
    <w:rsid w:val="001B6047"/>
    <w:rsid w:val="001C23D5"/>
    <w:rsid w:val="001D01E9"/>
    <w:rsid w:val="001D743D"/>
    <w:rsid w:val="001E7A15"/>
    <w:rsid w:val="00201897"/>
    <w:rsid w:val="00221250"/>
    <w:rsid w:val="002478F4"/>
    <w:rsid w:val="002501D0"/>
    <w:rsid w:val="00252C16"/>
    <w:rsid w:val="00274FB3"/>
    <w:rsid w:val="0028024F"/>
    <w:rsid w:val="002A72B2"/>
    <w:rsid w:val="002B32CE"/>
    <w:rsid w:val="002C2D77"/>
    <w:rsid w:val="002C6129"/>
    <w:rsid w:val="002F53F7"/>
    <w:rsid w:val="00306986"/>
    <w:rsid w:val="003103BF"/>
    <w:rsid w:val="00313955"/>
    <w:rsid w:val="00313BD7"/>
    <w:rsid w:val="003201E0"/>
    <w:rsid w:val="00323456"/>
    <w:rsid w:val="00327FC9"/>
    <w:rsid w:val="00351E25"/>
    <w:rsid w:val="00375275"/>
    <w:rsid w:val="00384CEB"/>
    <w:rsid w:val="00391288"/>
    <w:rsid w:val="003A7BD2"/>
    <w:rsid w:val="003B3845"/>
    <w:rsid w:val="003E0E0D"/>
    <w:rsid w:val="003F601E"/>
    <w:rsid w:val="00407276"/>
    <w:rsid w:val="00407EF0"/>
    <w:rsid w:val="00407F40"/>
    <w:rsid w:val="00412E10"/>
    <w:rsid w:val="00416F80"/>
    <w:rsid w:val="00416FB2"/>
    <w:rsid w:val="00425375"/>
    <w:rsid w:val="004311C0"/>
    <w:rsid w:val="00436FD6"/>
    <w:rsid w:val="0043792D"/>
    <w:rsid w:val="00444C4D"/>
    <w:rsid w:val="0045238A"/>
    <w:rsid w:val="004657E6"/>
    <w:rsid w:val="00474DD4"/>
    <w:rsid w:val="00475DDA"/>
    <w:rsid w:val="00476571"/>
    <w:rsid w:val="00484325"/>
    <w:rsid w:val="00484810"/>
    <w:rsid w:val="00484E73"/>
    <w:rsid w:val="00495062"/>
    <w:rsid w:val="004960CB"/>
    <w:rsid w:val="004A21CB"/>
    <w:rsid w:val="004A3AE6"/>
    <w:rsid w:val="004A408D"/>
    <w:rsid w:val="004A4753"/>
    <w:rsid w:val="004A6FF0"/>
    <w:rsid w:val="004A78FE"/>
    <w:rsid w:val="004C475B"/>
    <w:rsid w:val="004D4D3D"/>
    <w:rsid w:val="004D7F58"/>
    <w:rsid w:val="004E4093"/>
    <w:rsid w:val="004E415A"/>
    <w:rsid w:val="004F54AC"/>
    <w:rsid w:val="004F7ADE"/>
    <w:rsid w:val="0050266D"/>
    <w:rsid w:val="00502DC1"/>
    <w:rsid w:val="005332FE"/>
    <w:rsid w:val="00543E6C"/>
    <w:rsid w:val="00555E0E"/>
    <w:rsid w:val="0057163A"/>
    <w:rsid w:val="00573E4B"/>
    <w:rsid w:val="005872DC"/>
    <w:rsid w:val="005877DF"/>
    <w:rsid w:val="005966B2"/>
    <w:rsid w:val="005B23DE"/>
    <w:rsid w:val="005C15D8"/>
    <w:rsid w:val="005C3D90"/>
    <w:rsid w:val="005C4C15"/>
    <w:rsid w:val="005D4308"/>
    <w:rsid w:val="005E5AB6"/>
    <w:rsid w:val="005E78FE"/>
    <w:rsid w:val="005F011E"/>
    <w:rsid w:val="005F297D"/>
    <w:rsid w:val="005F3FB0"/>
    <w:rsid w:val="005F7D32"/>
    <w:rsid w:val="00600A9B"/>
    <w:rsid w:val="00602975"/>
    <w:rsid w:val="006104F4"/>
    <w:rsid w:val="00612F4E"/>
    <w:rsid w:val="006246DB"/>
    <w:rsid w:val="00630353"/>
    <w:rsid w:val="00633E59"/>
    <w:rsid w:val="00637BE3"/>
    <w:rsid w:val="00640342"/>
    <w:rsid w:val="00650D95"/>
    <w:rsid w:val="00672D01"/>
    <w:rsid w:val="00680A32"/>
    <w:rsid w:val="00681A75"/>
    <w:rsid w:val="00682B8B"/>
    <w:rsid w:val="006853DB"/>
    <w:rsid w:val="00685F12"/>
    <w:rsid w:val="00691452"/>
    <w:rsid w:val="006A613B"/>
    <w:rsid w:val="006C09BE"/>
    <w:rsid w:val="006C4981"/>
    <w:rsid w:val="006C65B9"/>
    <w:rsid w:val="006D2BB6"/>
    <w:rsid w:val="006E415D"/>
    <w:rsid w:val="006E6033"/>
    <w:rsid w:val="006F2A6D"/>
    <w:rsid w:val="0070469E"/>
    <w:rsid w:val="00733972"/>
    <w:rsid w:val="00735180"/>
    <w:rsid w:val="00751023"/>
    <w:rsid w:val="00754DDC"/>
    <w:rsid w:val="007742BD"/>
    <w:rsid w:val="00774940"/>
    <w:rsid w:val="00774FD3"/>
    <w:rsid w:val="00776EA1"/>
    <w:rsid w:val="00784413"/>
    <w:rsid w:val="00787B21"/>
    <w:rsid w:val="00791325"/>
    <w:rsid w:val="00795E00"/>
    <w:rsid w:val="007C25F1"/>
    <w:rsid w:val="007C3073"/>
    <w:rsid w:val="007C4B60"/>
    <w:rsid w:val="007C4FB0"/>
    <w:rsid w:val="007F2033"/>
    <w:rsid w:val="007F2D16"/>
    <w:rsid w:val="008048CF"/>
    <w:rsid w:val="00805D9F"/>
    <w:rsid w:val="008062DF"/>
    <w:rsid w:val="008312AD"/>
    <w:rsid w:val="00836918"/>
    <w:rsid w:val="00836A9D"/>
    <w:rsid w:val="0084601F"/>
    <w:rsid w:val="00851E3E"/>
    <w:rsid w:val="00857BDE"/>
    <w:rsid w:val="00861CB5"/>
    <w:rsid w:val="00870859"/>
    <w:rsid w:val="0087163A"/>
    <w:rsid w:val="008A2633"/>
    <w:rsid w:val="008A33DD"/>
    <w:rsid w:val="008A682C"/>
    <w:rsid w:val="008D5183"/>
    <w:rsid w:val="008E1572"/>
    <w:rsid w:val="008E2A6E"/>
    <w:rsid w:val="008F2CE2"/>
    <w:rsid w:val="008F7735"/>
    <w:rsid w:val="009014EE"/>
    <w:rsid w:val="0091035A"/>
    <w:rsid w:val="009212C4"/>
    <w:rsid w:val="00921AC1"/>
    <w:rsid w:val="0092398D"/>
    <w:rsid w:val="00925FD3"/>
    <w:rsid w:val="00930F80"/>
    <w:rsid w:val="00930FE6"/>
    <w:rsid w:val="00931F31"/>
    <w:rsid w:val="00971822"/>
    <w:rsid w:val="0097546C"/>
    <w:rsid w:val="009759E8"/>
    <w:rsid w:val="00977FBB"/>
    <w:rsid w:val="00983E4D"/>
    <w:rsid w:val="00983EC4"/>
    <w:rsid w:val="009B04DF"/>
    <w:rsid w:val="009B7B69"/>
    <w:rsid w:val="009D5778"/>
    <w:rsid w:val="009E6C6E"/>
    <w:rsid w:val="009E736A"/>
    <w:rsid w:val="009F7E00"/>
    <w:rsid w:val="00A0690B"/>
    <w:rsid w:val="00A11A80"/>
    <w:rsid w:val="00A65BB0"/>
    <w:rsid w:val="00A855DD"/>
    <w:rsid w:val="00A91771"/>
    <w:rsid w:val="00A97C0A"/>
    <w:rsid w:val="00AB2C35"/>
    <w:rsid w:val="00AB4C07"/>
    <w:rsid w:val="00AB5C9A"/>
    <w:rsid w:val="00AC2E1C"/>
    <w:rsid w:val="00AC6E8E"/>
    <w:rsid w:val="00AC7787"/>
    <w:rsid w:val="00AD1E1C"/>
    <w:rsid w:val="00AE7038"/>
    <w:rsid w:val="00B12611"/>
    <w:rsid w:val="00B14A8E"/>
    <w:rsid w:val="00B20ED9"/>
    <w:rsid w:val="00B30C5B"/>
    <w:rsid w:val="00B319A4"/>
    <w:rsid w:val="00B32A95"/>
    <w:rsid w:val="00B54874"/>
    <w:rsid w:val="00B61F61"/>
    <w:rsid w:val="00B666AC"/>
    <w:rsid w:val="00B71244"/>
    <w:rsid w:val="00B7219F"/>
    <w:rsid w:val="00B7385F"/>
    <w:rsid w:val="00B74152"/>
    <w:rsid w:val="00B813F2"/>
    <w:rsid w:val="00BA4F74"/>
    <w:rsid w:val="00BA6A51"/>
    <w:rsid w:val="00BB2B54"/>
    <w:rsid w:val="00BB76C2"/>
    <w:rsid w:val="00BD0A09"/>
    <w:rsid w:val="00BD767F"/>
    <w:rsid w:val="00BD7D46"/>
    <w:rsid w:val="00BE4DD9"/>
    <w:rsid w:val="00BE539C"/>
    <w:rsid w:val="00C0061D"/>
    <w:rsid w:val="00C37937"/>
    <w:rsid w:val="00C41B04"/>
    <w:rsid w:val="00C56787"/>
    <w:rsid w:val="00C57E3A"/>
    <w:rsid w:val="00C72CDB"/>
    <w:rsid w:val="00C7416B"/>
    <w:rsid w:val="00C8564C"/>
    <w:rsid w:val="00C90BF4"/>
    <w:rsid w:val="00C92287"/>
    <w:rsid w:val="00C954B6"/>
    <w:rsid w:val="00CA5372"/>
    <w:rsid w:val="00CB37D3"/>
    <w:rsid w:val="00CC0D90"/>
    <w:rsid w:val="00CF6462"/>
    <w:rsid w:val="00D06D6D"/>
    <w:rsid w:val="00D15473"/>
    <w:rsid w:val="00D22832"/>
    <w:rsid w:val="00D2411B"/>
    <w:rsid w:val="00D322C2"/>
    <w:rsid w:val="00D333CB"/>
    <w:rsid w:val="00D37257"/>
    <w:rsid w:val="00D40919"/>
    <w:rsid w:val="00D47315"/>
    <w:rsid w:val="00D6534E"/>
    <w:rsid w:val="00D65747"/>
    <w:rsid w:val="00D82000"/>
    <w:rsid w:val="00D83209"/>
    <w:rsid w:val="00D90BE0"/>
    <w:rsid w:val="00D9110D"/>
    <w:rsid w:val="00D9122F"/>
    <w:rsid w:val="00DA451D"/>
    <w:rsid w:val="00DB66B3"/>
    <w:rsid w:val="00DE7FB7"/>
    <w:rsid w:val="00DF341D"/>
    <w:rsid w:val="00DF7186"/>
    <w:rsid w:val="00DF79FB"/>
    <w:rsid w:val="00E03706"/>
    <w:rsid w:val="00E27899"/>
    <w:rsid w:val="00E406AC"/>
    <w:rsid w:val="00E436ED"/>
    <w:rsid w:val="00E44E61"/>
    <w:rsid w:val="00E66401"/>
    <w:rsid w:val="00E70ED7"/>
    <w:rsid w:val="00E7508F"/>
    <w:rsid w:val="00E97F84"/>
    <w:rsid w:val="00EA66D6"/>
    <w:rsid w:val="00EE1B0A"/>
    <w:rsid w:val="00EF4972"/>
    <w:rsid w:val="00F01872"/>
    <w:rsid w:val="00F13468"/>
    <w:rsid w:val="00F26EC4"/>
    <w:rsid w:val="00F30FFC"/>
    <w:rsid w:val="00F50AF8"/>
    <w:rsid w:val="00F5340A"/>
    <w:rsid w:val="00F628FA"/>
    <w:rsid w:val="00F64F37"/>
    <w:rsid w:val="00F67A12"/>
    <w:rsid w:val="00F845B6"/>
    <w:rsid w:val="00F873B2"/>
    <w:rsid w:val="00F90816"/>
    <w:rsid w:val="00FA0C44"/>
    <w:rsid w:val="00FB7004"/>
    <w:rsid w:val="00FE578D"/>
    <w:rsid w:val="00FF6DAB"/>
    <w:rsid w:val="00FF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6D6"/>
    <w:rPr>
      <w:sz w:val="24"/>
      <w:szCs w:val="24"/>
    </w:rPr>
  </w:style>
  <w:style w:type="paragraph" w:styleId="Heading1">
    <w:name w:val="heading 1"/>
    <w:aliases w:val="111,Заголовок параграфа (1.),Section,Section Heading,level2 hdg"/>
    <w:basedOn w:val="Normal"/>
    <w:next w:val="Normal"/>
    <w:link w:val="Heading1Char"/>
    <w:autoRedefine/>
    <w:uiPriority w:val="99"/>
    <w:qFormat/>
    <w:rsid w:val="00EF4972"/>
    <w:pPr>
      <w:jc w:val="both"/>
      <w:outlineLvl w:val="0"/>
    </w:pPr>
    <w:rPr>
      <w:rFonts w:ascii="Garamond" w:hAnsi="Garamond"/>
      <w:b/>
      <w:b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6A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9110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00ED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11 Char,Заголовок параграфа (1.) Char,Section Char,Section Heading Char,level2 hdg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36A9D"/>
    <w:rPr>
      <w:rFonts w:ascii="Cambria" w:hAnsi="Cambria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9110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B00ED"/>
    <w:rPr>
      <w:rFonts w:ascii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567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">
    <w:name w:val="Body Text"/>
    <w:aliases w:val="body text"/>
    <w:basedOn w:val="Normal"/>
    <w:link w:val="BodyTextChar"/>
    <w:uiPriority w:val="99"/>
    <w:rsid w:val="00857BDE"/>
    <w:pPr>
      <w:jc w:val="both"/>
    </w:pPr>
    <w:rPr>
      <w:szCs w:val="20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857BDE"/>
    <w:rPr>
      <w:rFonts w:cs="Times New Roman"/>
      <w:sz w:val="24"/>
      <w:lang w:val="ru-RU" w:eastAsia="ru-RU"/>
    </w:rPr>
  </w:style>
  <w:style w:type="paragraph" w:customStyle="1" w:styleId="a">
    <w:name w:val="Знак"/>
    <w:basedOn w:val="Normal"/>
    <w:uiPriority w:val="99"/>
    <w:rsid w:val="007F2D1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51E2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9122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51E25"/>
    <w:rPr>
      <w:rFonts w:cs="Times New Roman"/>
    </w:rPr>
  </w:style>
  <w:style w:type="paragraph" w:customStyle="1" w:styleId="a0">
    <w:name w:val="Обычный текст"/>
    <w:basedOn w:val="Normal"/>
    <w:link w:val="a1"/>
    <w:uiPriority w:val="99"/>
    <w:rsid w:val="00836A9D"/>
    <w:pPr>
      <w:ind w:firstLine="425"/>
    </w:pPr>
    <w:rPr>
      <w:rFonts w:eastAsia="Arial Unicode MS"/>
      <w:szCs w:val="20"/>
    </w:rPr>
  </w:style>
  <w:style w:type="character" w:customStyle="1" w:styleId="a1">
    <w:name w:val="Обычный текст Знак"/>
    <w:link w:val="a0"/>
    <w:uiPriority w:val="99"/>
    <w:locked/>
    <w:rsid w:val="00836A9D"/>
    <w:rPr>
      <w:rFonts w:eastAsia="Arial Unicode MS"/>
      <w:sz w:val="24"/>
    </w:rPr>
  </w:style>
  <w:style w:type="paragraph" w:styleId="Caption">
    <w:name w:val="caption"/>
    <w:basedOn w:val="Normal"/>
    <w:uiPriority w:val="99"/>
    <w:qFormat/>
    <w:rsid w:val="00F30FFC"/>
    <w:pPr>
      <w:widowControl w:val="0"/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rsid w:val="004E409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E4093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D911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9110D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8A26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9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774</Words>
  <Characters>4415</Characters>
  <Application>Microsoft Office Outlook</Application>
  <DocSecurity>0</DocSecurity>
  <Lines>0</Lines>
  <Paragraphs>0</Paragraphs>
  <ScaleCrop>false</ScaleCrop>
  <Company>ЗАО "КЭС"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 Дмитрий Валерьевич,</dc:title>
  <dc:subject/>
  <dc:creator>USER</dc:creator>
  <cp:keywords/>
  <dc:description/>
  <cp:lastModifiedBy>abo</cp:lastModifiedBy>
  <cp:revision>7</cp:revision>
  <cp:lastPrinted>2011-04-05T13:37:00Z</cp:lastPrinted>
  <dcterms:created xsi:type="dcterms:W3CDTF">2011-06-20T07:35:00Z</dcterms:created>
  <dcterms:modified xsi:type="dcterms:W3CDTF">2011-06-23T11:09:00Z</dcterms:modified>
</cp:coreProperties>
</file>